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/>
        <w:jc w:val="center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pStyle w:val="9"/>
        <w:ind w:left="0" w:leftChars="0"/>
        <w:jc w:val="center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pStyle w:val="9"/>
        <w:ind w:left="0" w:leftChars="0"/>
        <w:jc w:val="center"/>
        <w:rPr>
          <w:rFonts w:eastAsia="方正小标宋简体"/>
          <w:color w:val="auto"/>
          <w:sz w:val="44"/>
          <w:szCs w:val="44"/>
          <w:highlight w:val="none"/>
        </w:rPr>
      </w:pPr>
    </w:p>
    <w:p>
      <w:pPr>
        <w:bidi w:val="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Toc27645"/>
      <w:bookmarkStart w:id="1" w:name="_Toc747638975"/>
      <w:r>
        <w:rPr>
          <w:rFonts w:hint="eastAsia" w:ascii="华文中宋" w:hAnsi="华文中宋" w:eastAsia="华文中宋" w:cs="华文中宋"/>
          <w:sz w:val="44"/>
          <w:szCs w:val="44"/>
        </w:rPr>
        <w:t>辽宁省</w:t>
      </w:r>
      <w:bookmarkStart w:id="2" w:name="_GoBack"/>
      <w:bookmarkEnd w:id="2"/>
      <w:r>
        <w:rPr>
          <w:rFonts w:hint="eastAsia" w:ascii="华文中宋" w:hAnsi="华文中宋" w:eastAsia="华文中宋" w:cs="华文中宋"/>
          <w:sz w:val="44"/>
          <w:szCs w:val="44"/>
        </w:rPr>
        <w:t>“十五五”林业草原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发展</w:t>
      </w:r>
      <w:r>
        <w:rPr>
          <w:rFonts w:hint="eastAsia" w:ascii="华文中宋" w:hAnsi="华文中宋" w:eastAsia="华文中宋" w:cs="华文中宋"/>
          <w:sz w:val="44"/>
          <w:szCs w:val="44"/>
        </w:rPr>
        <w:t>规划</w:t>
      </w:r>
      <w:bookmarkEnd w:id="0"/>
      <w:bookmarkEnd w:id="1"/>
    </w:p>
    <w:p>
      <w:pPr>
        <w:bidi w:val="0"/>
        <w:jc w:val="center"/>
        <w:rPr>
          <w:rFonts w:hint="eastAsia" w:ascii="华文中宋" w:hAnsi="华文中宋" w:eastAsia="华文中宋" w:cs="华文中宋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6"/>
          <w:szCs w:val="36"/>
          <w:lang w:eastAsia="zh-CN"/>
        </w:rPr>
        <w:t>（征求意见稿）</w:t>
      </w:r>
    </w:p>
    <w:p>
      <w:pPr>
        <w:pStyle w:val="9"/>
        <w:ind w:left="0" w:leftChars="0"/>
        <w:jc w:val="center"/>
        <w:rPr>
          <w:rFonts w:eastAsia="华文中宋"/>
          <w:color w:val="auto"/>
          <w:sz w:val="44"/>
          <w:szCs w:val="44"/>
          <w:highlight w:val="none"/>
        </w:rPr>
      </w:pPr>
    </w:p>
    <w:p>
      <w:pPr>
        <w:pStyle w:val="2"/>
        <w:spacing w:line="240" w:lineRule="auto"/>
        <w:ind w:firstLine="64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64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0" w:firstLineChars="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64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64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64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2"/>
        <w:spacing w:line="240" w:lineRule="auto"/>
        <w:ind w:firstLine="0" w:firstLineChars="0"/>
        <w:rPr>
          <w:rFonts w:eastAsia="楷体"/>
          <w:color w:val="auto"/>
          <w:sz w:val="32"/>
          <w:szCs w:val="32"/>
          <w:highlight w:val="none"/>
        </w:rPr>
      </w:pPr>
    </w:p>
    <w:p>
      <w:pPr>
        <w:pStyle w:val="3"/>
        <w:outlineLvl w:val="9"/>
        <w:rPr>
          <w:rFonts w:ascii="Times New Roman" w:hAnsi="Times New Roman"/>
          <w:color w:val="auto"/>
          <w:highlight w:val="none"/>
        </w:rPr>
      </w:pPr>
    </w:p>
    <w:p>
      <w:pPr>
        <w:rPr>
          <w:rFonts w:ascii="Times New Roman" w:hAnsi="Times New Roman"/>
          <w:color w:val="auto"/>
          <w:highlight w:val="none"/>
        </w:rPr>
      </w:pPr>
    </w:p>
    <w:p>
      <w:pPr>
        <w:pStyle w:val="2"/>
        <w:rPr>
          <w:color w:val="auto"/>
          <w:highlight w:val="none"/>
        </w:rPr>
      </w:pPr>
    </w:p>
    <w:p>
      <w:pPr>
        <w:jc w:val="center"/>
        <w:rPr>
          <w:rFonts w:ascii="Times New Roman" w:hAnsi="Times New Roman" w:eastAsia="楷体"/>
          <w:color w:val="auto"/>
          <w:sz w:val="32"/>
          <w:szCs w:val="32"/>
          <w:highlight w:val="none"/>
        </w:rPr>
      </w:pPr>
    </w:p>
    <w:p>
      <w:pPr>
        <w:jc w:val="center"/>
        <w:rPr>
          <w:rFonts w:ascii="Times New Roman" w:hAnsi="Times New Roman" w:eastAsia="楷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楷体"/>
          <w:color w:val="auto"/>
          <w:sz w:val="36"/>
          <w:szCs w:val="36"/>
          <w:highlight w:val="none"/>
        </w:rPr>
        <w:t>辽宁省林业和草原局</w:t>
      </w:r>
    </w:p>
    <w:p>
      <w:pPr>
        <w:jc w:val="center"/>
        <w:rPr>
          <w:rFonts w:ascii="Times New Roman" w:hAnsi="Times New Roman" w:eastAsia="楷体"/>
          <w:color w:val="auto"/>
          <w:sz w:val="36"/>
          <w:szCs w:val="36"/>
          <w:highlight w:val="none"/>
        </w:rPr>
      </w:pPr>
      <w:r>
        <w:rPr>
          <w:rFonts w:ascii="Times New Roman" w:hAnsi="Times New Roman" w:eastAsia="楷体"/>
          <w:color w:val="auto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楷体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楷体"/>
          <w:color w:val="auto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楷体"/>
          <w:color w:val="auto"/>
          <w:sz w:val="36"/>
          <w:szCs w:val="36"/>
          <w:highlight w:val="none"/>
          <w:lang w:val="en-US" w:eastAsia="zh-CN"/>
        </w:rPr>
        <w:t>5</w:t>
      </w:r>
      <w:r>
        <w:rPr>
          <w:rFonts w:ascii="Times New Roman" w:hAnsi="Times New Roman" w:eastAsia="楷体"/>
          <w:color w:val="auto"/>
          <w:sz w:val="36"/>
          <w:szCs w:val="36"/>
          <w:highlight w:val="none"/>
        </w:rPr>
        <w:t>月</w:t>
      </w:r>
      <w:r>
        <w:rPr>
          <w:rFonts w:hint="eastAsia" w:ascii="Times New Roman" w:hAnsi="Times New Roman" w:eastAsia="楷体"/>
          <w:color w:val="auto"/>
          <w:sz w:val="36"/>
          <w:szCs w:val="36"/>
          <w:highlight w:val="none"/>
          <w:lang w:val="en-US" w:eastAsia="zh-CN"/>
        </w:rPr>
        <w:t>11</w:t>
      </w:r>
      <w:r>
        <w:rPr>
          <w:rFonts w:ascii="Times New Roman" w:hAnsi="Times New Roman" w:eastAsia="楷体"/>
          <w:color w:val="auto"/>
          <w:sz w:val="36"/>
          <w:szCs w:val="36"/>
          <w:highlight w:val="none"/>
        </w:rPr>
        <w:t>日</w:t>
      </w:r>
    </w:p>
    <w:p>
      <w:pPr>
        <w:rPr>
          <w:rFonts w:ascii="Times New Roman" w:hAnsi="Times New Roman" w:eastAsia="方正小标宋简体"/>
          <w:color w:val="auto"/>
          <w:sz w:val="44"/>
          <w:szCs w:val="44"/>
          <w:highlight w:val="none"/>
        </w:rPr>
      </w:pPr>
    </w:p>
    <w:p>
      <w:pPr>
        <w:pStyle w:val="10"/>
        <w:spacing w:after="0"/>
        <w:ind w:left="420"/>
        <w:rPr>
          <w:rFonts w:cs="Times New Roman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一、“十四五”时期主要成效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省委、省政府聚焦打造新时代“六地”目标，牢牢把握维护“五大安全”重要使命，深入实施全面振兴新突破三年行动。林草行业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争先创优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，推动“十四五”规划各项工作落实落地，规划主要任务全部完成。全省森林覆盖率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35.67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%，森林蓄积量3.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亿立方米，全省草原综合植被盖度为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68.53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全省累计完成沙化、荒漠化综合治理任务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万亩，其中林草生态治理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万亩，流动、半固定沙地已全部消灭，沙化、荒漠化林草用地平均植被综合盖度分别达到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%，实现了“绿进沙退”。科学推动国土绿化，完成造林绿化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万亩，森林抚育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374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万亩；大力推进全民义务植树活动，完成义务植树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3.06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亿株；全面实施草原生态修复及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有害生物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防治，完成草原修复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238.6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有害生物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858.6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万亩；湿地保护扎实推进，《辽宁省湿地保护条例》修订工作顺利完成，盘锦市获评“国际湿地城市”。严厉打击违法违规破坏森林资源行为，国家林草执法监督平台下发违法案件年均结案率达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%以上；全面完成林草生态综合监测评价工作，累计完成图斑变更调查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万个。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持续推进辽河口国家公园创建设立工作，开展“退养还湿”“湿地保护与修复”等生态修复工程；大连蛇岛－老铁山、丹东鸭绿江口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处候鸟栖息地列入《世界遗产名录》；开展自然保护地整合优化工作，整合优化后，各级各类自然保护地共计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处，总面积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万亩；实施候鸟关键栖息地保护监测能力提升项目，新建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处标准化野生动物救护站，增设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处国家级疫源疫病监测站；“十四五”期间，年均森林火灾受害率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0.017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‰，草原未发生火灾；全省林业有害生物成灾率控制在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‰以下，松材线虫病发生面积明显下降。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“十四五”期间发展特色经济林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34.58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万亩，林下经济开发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25.49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万亩；严格落实林长制，全面构建省、市、县、乡、村五级林长责任体系，设立各级林长制办公室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1241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个，发布总林长令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个；林草种苗保障能力大幅提高，全省年育苗面积保持在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亿株以上。统筹推进28个全国试点国有林场和15个省现代国有林场创建工作，发挥示范引领作用，有力助推全省林草事业高质量发展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助力国有林场发展转型升级。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二、总体要求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（一）指导思想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坚持以习近平生态文明思想为指导，全面贯彻党的二十大和二十届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历次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全会精神，深入贯彻习近平总书记关于东北、辽宁全面振兴的重要讲话和指示批示精神，完整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新发展理念，认真践行绿水青山就是金山银山理念，秉持久久为功的战略定力，坚持“三绿”并举、“四库”联动，紧紧围绕省委、省政府工作部署，以国家生态安全和美丽辽宁建设为目标，以林长制为引领，统筹推进森林质量精准提升，着力抓好科尔沁沙地歼灭战、集体林权制度改革、自然保护地体系建设、林业基础设施建设等重点工作，切实加强森林、草原、湿地、荒漠等资源保护和修复，不断提升防灾减灾能力，注重提质兴业利民，大力发展绿色富民产业，持续增强林业基础设施建设，全力推动辽宁林草事业高质量发展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（二）目标任务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年，生态建设进一步加强，生态环境总体改善，生态安全屏障更加牢固；转变经济增长方式，生态经济体系逐渐形成。森林覆盖率达到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%；森林蓄积量达到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亿立方米；草原综合植被盖度达到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%，国家重点保护野生动物种数保护率达到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%，国家重点保护野生植物种数保护率达到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%，森林火灾受害率控制在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‰以内，草原火灾受害率控制在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‰以内，林业有害生物成灾率控制在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‰以内，草原有害生物成灾率控制在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%以内，林草产业总产值达到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769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（三）规划布局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立足辽宁生态本底及自然禀赋，服务于辽宁“一圈一带两区”的区域发展格局，构建以辽河平原生态建设廊道、沿海生态修复带、辽东森林生态屏障、辽西防风固沙屏障为核心框架的“一廊一带两屏”林草发展格局，将山、海、河与平原通过“廊道并联、屏障守护、带线联动”构建有机整体，形成覆盖全省、空间互补、功能协同的生态网络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三、科学推进国土绿化，夯实生态建设基础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（四）打好打赢科尔沁沙地歼灭战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坚持山水林田湖草沙一体化保护和系统治理，统筹实施生态建设项目，区域内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按照科尔沁沙地歼灭战攻坚区、科尔沁沙地南缘阻击区、沿海沿河沙地治理区和荒漠化综合防治区，因地制宜、分区施策，以辽宁千里阻沙带为重点，通过实施林草生态建设、沙化耕地治理、小流域综合治理等措施，实现全要素协同推进，加强区域联防联治，实行沙漠边缘和腹地、沙源地和路径区协同治理，完善穿沙路网体系，充分发挥“以路治沙”作用，筑牢生态安全屏障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累计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完成综合治理任务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2465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（五）精准提升森林质量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科学开展森林经营，加强新造林、中幼林抚育管理及低质低效林改造。及时开展除草、割灌、修枝和补植补造，提高造林成效。坚持近自然经营，加强森林抚育，通过疏伐、透光伐、生长伐等经营活动，优化林分密度结构，合理调整树种组成，释放林木生长空间，提高林木生长量。坚持保护优先，自然修复与人工促进相结合，科学开展低质低效林改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和退化林修复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，加速林分正向演替，培育异龄复层混交林，恢复和提高林地生产力，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巩固和提升生态系统碳汇能力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。完成森林抚育面积30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。实行天然林保护与公益林管理并轨，构建完备、规范、高效的保护制度体系，实施一体化保护。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（六）持续开展国土绿化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秉承科学绿化理念，坚持以水定绿、量水而行，稳步推动国土绿化。以耕地保护和国土绿化空间专项规划为底板，确保绿化用地合法合规。优先选用良种乡土树种，推行节水造林技术，大力开展困难立地攻坚绿化，加强高远山地封山育林，采取人工修复与自然恢复相结合的方式开展退化林修复。完成造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积极开展全民义务植树。不断丰富义务植树尽责形式，稳步推进“互联网+全民义务植树”，拓宽公众参与渠道，完成义务植树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亿株。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探索建立碳汇计量监测体系，做优林业碳汇项目开发。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贯彻《古树名木保护条例》，加强古树名木资源管护，做好普查、挂牌、复壮和保护宣传工作。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（七）做好林草种苗保障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林草种质资源保护，持续开展林草种质资源收集保存，建设林草种质资源库（圃）。强化良种选育攻关，选育珍贵树种、经济林树种、抗逆树种及其他乡土树种、草种，加快良种化进程。建设林木良种基地和保障性苗圃，提升种苗供给能力。强化林草种苗质量监管，引导种苗生产经营者合理安排生产，持续提升社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服务水平。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（八）加强草原保护修复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大草原保护力度。落实基本草原保护制度，开展全省基本草原划定和优化调整，确保面积不减少、质量不下降、用途不改变。持续开展草原监测和退化评估。加强草原禁牧监管，强化执法监督，严厉打击非法使用草原行为。规范草原征占用审核审批，实行全过程监管，提高草原要素保障能力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类施策修复退化草原，采取围栏封育、免耕补播，促进植被恢复。加强有害生物监测预警和绿色防治，提升重大草原生物灾害预警和应急救灾能力。鼓励和支持草种生产基地等建设，推动生态修复与草产业融合。到2030年，完成草原生态修复35万亩、草原有害生物防治410万亩，建设草种生产基地1处、完成草种扩繁面积1万亩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（九）强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湿地保护修复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完善湿地保护管理体系。落实湿地分级管理制度，推动更新发布省重要湿地名录，推进省级重要湿地晋升国家（国际）重要湿地。探索建立湿地生态效益补偿长效机制。完善以国家公园、自然保护区、湿地公园为主体的湿地保护体系，提高湿地保护能力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湿地修复。立足“一廊一带两屏”格局，分区分类推进。辽河廊道侧重栖息地保护与河口湿地修复；滨海带加强岸线保护与候鸟迁徙地修复，巩固互花米草防治成效；辽东山区以自然恢复为主，强化水源涵养与泥炭沼泽保护；辽西丘陵结合沙地治理，提升生态补水与植被恢复。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年，申报国家重要湿地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处，完成湿地修复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四、推动生态价值转化，释放绿色发展动能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（十）做优做强林草产业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大力发展优势特色产业。推进国家储备林项目建设规范化，做好存量项目评估。优化产业布局，因地制宜发展松子、榛子等特色经济林，大力发展林下经济，推广林药、林菜、林菌等资源复合经营，提高林产品供给能力。推广生态旅游、自然教育、森林康养等林草文旅融合新业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稳步发展林产品加工业。鼓励和支持社会资本参与林下经济建设，培育新型林业经营主体。完善产业标准体系。支持废旧木材回收利用等循环经济发展。持续完善林业产业体系，推进林草品牌塑造，积极组织申报“辽宁优品”等品牌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（十一）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推进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集体林权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试点工作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生态优先、绿色发展、百姓富裕，推进集体林权制度改革试点。落实更灵活的森林经营措施，进一步放活林地经营权，推进规模化集约化经营，提升林业经营主体发展活力，大力发展林下经济，壮大林草产业，促进农民增收致富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（十二）深化国有林场改革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快建设现代化国有林场。持续巩固拓展改革成果，建立健全经营机制，探索收入分配激励机制，建设资源质量优良、生态功能稳定、产业发展有序的现代化国有林场。推动“国有林场+”模式，支持国有林场发挥技术、人才和经营管理优势，在生态建设、资源保护、产业发展等方面发挥引领作用，助力辽宁林草事业高质量发展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五、强化资源管护守底线，筑牢生态安全屏障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（十三）强化森林资源监督管理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林草资源保护发展目标，全面强化监督管理，夯实全省生态安全根基。压实各级资源保护责任，进一步提升林长履职效能，深化部门协作联动，优化信息化管理平台，以智慧化手段提升林草治理能力。健全多部门联合执法机制，严厉打击各类破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森林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资源违法行为，深入开展专项整治，保持高压态势。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加强森林资源保护，严格林地用途管制，推进林地分级管理，构建科学高效的林地保护利用长效机制；深化林木采伐“放管服”改革，落实森林采伐限额制度，全面停止天然林商业性采伐。强化林草湿荒调查监测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成果应用。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（十四）加强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林业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基层机构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能力建设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推进标准化林业站建设。计划新建国家级标准化林业站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个，对林业站基础设施进行硬件提档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加强基层林业工作力量，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强化生态护林员管理，探索管护方式由人防向技防转变，运用无人机、视频监控等设备构建全方位、多角度的林草资源管护、监测体系。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强化社会服务能力，充分发挥标准化林业站的示范带动作用。强化林业站专业技术支撑，开展林业站站长能力培训测试，计划完成培训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（十五）构建以国家公园为主体的自然保护地体系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动以国家公园为主体的自然保护地体系建设，实施辽河口国家公园（候选区）生态保护修复，稳妥有序推进国家公园设立，构建具有辽宁特色的自然保护地体系，有效保护重要生态系统、自然遗产、重点保护物种。实施自然保护地整合优化，开展勘界立标和总体规划编制，实行分级管理、分区管控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强化自然保护地能力建设，构建“天空地一体化”智能网络体系，推动监测数据集成分析和综合应用，提升综合监管能力。加强世界自然遗产保护利用，推动长山群岛和朝阳热河生物群化石地申遗。完善社区共享机制，强化宣传引导，扩大辽宁自然保护地品牌效应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（十六）全面保护野生动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植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物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强化野生动植物资源保护。修订《辽宁省实施&lt;中华人民共和国野生动物保护法&gt;办法》，调整重点保护野生动物名录；开展重点物种专项调查监测，实施丹顶鹤等极度濒危物种抢救性保护；持续开展越冬水鸟同步调查，健全收容救护体系；落实野猪致害防控方案，提升疫源疫病监测信息化水平；加强东北红豆杉等珍稀植物保护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野生中草药调查研究；开展专项执法打击非法交易，加强有害生物及外来入侵物种防控。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加强鸟类迁飞通道保护修复。填补鸟类重要栖息地保护空白，保护我省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处候鸟关键栖息地、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处陆生野生动物重要栖息地及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处迁徙通道；建立鸟类保护监测站，完善相关设施，应用大数据、人工智能等技术，实施栖息地生境修复，改善候鸟迁徙通道和栖息地质量。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（十七）提升安全生产和森林草原火灾综合防控能力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预防为主、积极消灭、生命至上、安全第一的方针，坚持防灭火一体化，推进科学防火、依法治火，完善网格化管理，强化野外火源管控与风险隐患排查。加强防火道路、以水灭火、宣传教育、队伍营房等基础设施建设，加快信息化、智能化建设，实现省、市、县信息共享、互联互通。聚焦重点区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重点目标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，强化科技赋能，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提升技防、智防水平。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建强队伍体系，加强防灭火物资储备，推动装备转型升级。指导行业加强安全生产监管、风险排查和教育培训，提升安全生产水平。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（十八）提升林业有害生物综合治理能力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全面监测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1357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万亩松属植物，除治疫木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万株，飞防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万亩次，巩固无疫情成果，力争拔除疫区。统筹开展美国白蛾、红脂大小蠹等有害生物防治，提升防控能力。建立天空地一体化监测机制，按时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开展虫情调查，建立基础数据库。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加强森林植物及其制品检疫监管工作，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实现产地检疫、重点苗木复检全覆盖，强化检疫执法与外来风险防控。完善重点实验室建设，提升检验鉴定能力，开展科技攻关与标准制定。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六、健全制度机制强保障，护航林草事业发展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（十九）完善林草支撑体系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加强法治建设。落实执行《中华人民共和国森林法》等法律法规，完善林业地方立法，推动《辽宁省实施〈中华人民共和国野生动物保护法〉办法》《辽宁省林木种子管理条例》等立法修法。强化政策支撑，加大中央资金争取力度，统筹中央和地方资金，完善林业信贷与生态保护补偿制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推动科技创新和成果转化，突破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项以上关键技术，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制（修）订50项以上林草地方标准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项以上林草植物新品种权，完成科技项目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，强化国家林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局重点实验室建设和运行管理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加强人才队伍建设，多渠道引育高水平专业人才，建立专家型人才库。</w:t>
      </w:r>
    </w:p>
    <w:p>
      <w:pPr>
        <w:ind w:firstLine="64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（二十）加强规划实施保障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坚持党的领导，各级党委、政府、林草主管部门以习近平总书记视察东北、辽宁重要讲话精神为指导，健全规划实施体制机制，做好系统衔接，明确责任分工，分解目标任务。充分发挥规划战略引领作用，推动项目、资金、要素跟着规划走，实施全过程预算绩效管理，确保规划任务高效落实。</w:t>
      </w:r>
    </w:p>
    <w:p>
      <w:pPr>
        <w:ind w:firstLine="642" w:firstLineChars="200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（二十一）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强力推动林草宣传</w:t>
      </w:r>
    </w:p>
    <w:p>
      <w:pPr>
        <w:pStyle w:val="9"/>
        <w:ind w:left="0" w:leftChars="0" w:firstLine="640" w:firstLineChars="200"/>
        <w:rPr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我省林草重点工作和重要时间节点，组织国家和省级主要媒体开展国土绿化、重点野生动植物保护、森林草原防火等宣传报道活动；强化宣传引导，充分利用林草局官方网站、公众号等，深化传统媒体、新媒体的融合，不断创新宣传方式，拓宽宣传渠道。同时加强宣传队伍建设，不断提升我省林草工作宣传水平。全力抓好全省林草宣传工作，总结推广各地林草建设典型经验和做法，展现辽宁林草形象，让生态理念深入人心，为林草建设营造良好舆论氛围。</w:t>
      </w:r>
    </w:p>
    <w:p>
      <w:pPr>
        <w:pStyle w:val="9"/>
        <w:ind w:left="0" w:leftChars="0"/>
        <w:rPr>
          <w:rFonts w:hint="default" w:eastAsia="仿宋_GB2312"/>
          <w:color w:val="auto"/>
          <w:sz w:val="28"/>
          <w:szCs w:val="28"/>
          <w:highlight w:val="none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973"/>
        <w:gridCol w:w="1805"/>
        <w:gridCol w:w="1215"/>
        <w:gridCol w:w="1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auto"/>
                <w:szCs w:val="21"/>
                <w:highlight w:val="none"/>
                <w:lang w:val="en-US" w:eastAsia="zh-CN"/>
              </w:rPr>
              <w:t>表</w:t>
            </w:r>
            <w:r>
              <w:rPr>
                <w:rFonts w:ascii="Times New Roman" w:hAnsi="Times New Roman" w:eastAsia="黑体"/>
                <w:color w:val="auto"/>
                <w:szCs w:val="21"/>
                <w:highlight w:val="none"/>
              </w:rPr>
              <w:t>1-1“十五五”时期林草保护发展主要指标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  <w:t>指标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  <w:t>2025年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  <w:t>2030年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b/>
                <w:bCs/>
                <w:color w:val="auto"/>
                <w:szCs w:val="21"/>
                <w:highlight w:val="none"/>
              </w:rPr>
              <w:t>属性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森林覆盖率（%）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35.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67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35.7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森林蓄积量（亿立方米）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约束性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草原综合植被盖度（%）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68.53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2024年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国家重点保护野生动物种数保护率（%）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7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国家重点保护野生植物种数保护率（%）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90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森林/草原火灾受害率（‰）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</w:rPr>
              <w:t>≤</w:t>
            </w: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0.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017</w:t>
            </w: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/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0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</w:rPr>
              <w:t>≤</w:t>
            </w: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0.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/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1.8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林业有害生物成灾率（‰）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≤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0.74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≤</w:t>
            </w:r>
            <w:r>
              <w:rPr>
                <w:rFonts w:hint="eastAsia" w:ascii="Times New Roman" w:hAnsi="Times New Roman" w:eastAsia="仿宋_GB2312"/>
                <w:color w:val="auto"/>
                <w:sz w:val="22"/>
                <w:highlight w:val="none"/>
                <w:lang w:val="en-US" w:eastAsia="zh-CN"/>
              </w:rPr>
              <w:t>12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草原有害生物成灾率（%）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0.11（2024年）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 w:val="22"/>
                <w:highlight w:val="none"/>
              </w:rPr>
              <w:t>≤8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4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233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林草产业总产值（亿元）</w:t>
            </w:r>
          </w:p>
        </w:tc>
        <w:tc>
          <w:tcPr>
            <w:tcW w:w="105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706.53</w:t>
            </w:r>
          </w:p>
        </w:tc>
        <w:tc>
          <w:tcPr>
            <w:tcW w:w="71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769.48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  <w:t>预期性</w:t>
            </w:r>
          </w:p>
        </w:tc>
      </w:tr>
    </w:tbl>
    <w:p>
      <w:pPr>
        <w:pStyle w:val="9"/>
        <w:ind w:left="0" w:leftChars="0" w:firstLine="0" w:firstLineChars="0"/>
        <w:rPr>
          <w:color w:val="auto"/>
          <w:highlight w:val="none"/>
        </w:rPr>
      </w:pPr>
    </w:p>
    <w:p>
      <w:pPr>
        <w:pStyle w:val="9"/>
        <w:ind w:left="0" w:leftChars="0"/>
        <w:rPr>
          <w:rFonts w:hint="default" w:eastAsia="仿宋_GB2312"/>
          <w:color w:val="auto"/>
          <w:sz w:val="28"/>
          <w:szCs w:val="28"/>
          <w:highlight w:val="none"/>
          <w:lang w:val="en-US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1"/>
        <w:tblpPr w:leftFromText="180" w:rightFromText="180" w:vertAnchor="text" w:horzAnchor="page" w:tblpX="1244" w:tblpY="156"/>
        <w:tblOverlap w:val="never"/>
        <w:tblW w:w="9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2735"/>
        <w:gridCol w:w="5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2" w:type="dxa"/>
            <w:gridSpan w:val="3"/>
            <w:noWrap w:val="0"/>
            <w:vAlign w:val="center"/>
          </w:tcPr>
          <w:p>
            <w:pPr>
              <w:pStyle w:val="2"/>
              <w:spacing w:line="440" w:lineRule="exact"/>
              <w:ind w:firstLine="420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  <w:lang w:val="en-US" w:eastAsia="zh-CN"/>
              </w:rPr>
              <w:t>表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highlight w:val="none"/>
              </w:rPr>
              <w:t>1-2 林草发展总体布局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区域名称</w:t>
            </w:r>
          </w:p>
        </w:tc>
        <w:tc>
          <w:tcPr>
            <w:tcW w:w="2735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区域范围</w:t>
            </w:r>
          </w:p>
        </w:tc>
        <w:tc>
          <w:tcPr>
            <w:tcW w:w="5963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区域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1"/>
                <w:szCs w:val="21"/>
                <w:highlight w:val="none"/>
              </w:rPr>
              <w:t>辽河平原生态建设廊道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left="0" w:leftChars="0" w:firstLine="420" w:firstLineChars="200"/>
              <w:rPr>
                <w:rFonts w:hint="eastAsia" w:ascii="仿宋_GB2312" w:hAnsi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沈阳市全域，鞍山市海城市、台安县，锦州市凌海市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辽阳市文圣区、太子河区、宏伟区、灯塔市，铁岭市市辖区及开原市、铁岭县、调兵山市、昌图县，盘锦市全域，沈抚示范区。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left="0" w:leftChars="0" w:firstLine="420" w:firstLineChars="20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部平原的“生态纽带与粮食安全基石”。核心是构建以辽河口国家公园为主体的自然保护地体系建设，维护辽东湾海洋生态环境，加强辽河、浑河、太子河流域湿地保护修复与生物多样性保护，提升水源涵养与水土保持功能。推进设立辽河口国家公园，持续推进系统生态修复。依托辽河干流，保护修复辽宁双台河口国际重要湿地。推进辽河平原防护林建设，遏制土壤风蚀水蚀，维护中部城市群生态安全，保障国家粮食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1"/>
                <w:szCs w:val="21"/>
                <w:highlight w:val="none"/>
              </w:rPr>
              <w:t>沿海生态修复带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left="0" w:leftChars="0" w:firstLine="420" w:firstLineChars="200"/>
              <w:rPr>
                <w:rFonts w:hint="eastAsia" w:ascii="仿宋_GB2312" w:hAnsi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大连市全域，丹东市振兴区、东港市，锦州市市辖区及凌海市，营口市全域，盘锦市全域，葫芦岛市市辖区及兴城市、绥中县。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firstLine="42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海岸带的“候鸟通道与生态防线”。核心是保护候鸟迁飞通道，保护和修复海岸带生态，提升生态系统承载能力，维护黄渤海生态系统完整性与稳定性。加快构建系统完整的候鸟迁飞保护网络，持续开展栖息地生境修复和迁飞通道监测能力建设。推进黄渤海生态综合整治与修复，加强海岸带重点区域重要湿地保护管理，做好世界自然遗产（蛇岛－老铁山 鸭绿江口）保护和修复，提升海岸带生态系统结构完整性和功能稳定性。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0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辽东森林生态屏障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left="0" w:leftChars="0" w:firstLine="420" w:firstLineChars="200"/>
              <w:rPr>
                <w:rFonts w:hint="eastAsia" w:ascii="仿宋_GB2312" w:hAnsi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鞍山市千山区、岫岩县，抚顺市全域，本溪市全域，丹东市振安区、元宝区、凤城市、宽甸县，辽阳市弓长岭区、辽阳县，铁岭市西丰县。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firstLine="42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东部山区的“绿肺水塔与绿色产业引擎”。核心是强化森林生态功能，推动“生态保护+绿色产业”协同发展。加强森林资源保护，大力提升森林质量，增强生态系统稳定性；充分发挥森林“绿肺水塔”功能，科学利用森林资源，提高林地生产力和森林碳汇能力；大力发展特色经济林及林下经济、生态旅游、森林康养等绿色产业；改善区域生态环境质量，推动生态保护与经济社会协调发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440" w:lineRule="exact"/>
              <w:ind w:firstLine="0" w:firstLineChars="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辽西防风固沙屏障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left="0" w:leftChars="0" w:firstLine="420" w:firstLineChars="200"/>
              <w:rPr>
                <w:rFonts w:hint="eastAsia" w:ascii="仿宋_GB2312" w:hAnsi="仿宋_GB2312" w:cs="仿宋_GB2312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</w:rPr>
              <w:t>沈阳市康平县、法库县、新民市，锦州市黑山县、义县、北镇市，阜新市全域，铁岭市昌图县，朝阳市全域，葫芦岛市建昌县。</w:t>
            </w:r>
          </w:p>
        </w:tc>
        <w:tc>
          <w:tcPr>
            <w:tcW w:w="5963" w:type="dxa"/>
            <w:noWrap w:val="0"/>
            <w:vAlign w:val="top"/>
          </w:tcPr>
          <w:p>
            <w:pPr>
              <w:pStyle w:val="2"/>
              <w:adjustRightInd w:val="0"/>
              <w:snapToGrid w:val="0"/>
              <w:spacing w:line="440" w:lineRule="exact"/>
              <w:ind w:firstLine="420"/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yellow"/>
              </w:rPr>
            </w:pPr>
            <w:r>
              <w:rPr>
                <w:rFonts w:hint="eastAsia" w:ascii="仿宋_GB2312" w:hAnsi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西北部的“阻沙绿盾与生态安全底线”。核心是防风固沙、保持水土，是辽宁阻止科尔沁沙地南侵、保护中部城市群的“绿盾”。依托“三北”六期工程，推进筑牢辽宁千里阻沙带，提升植被综合盖度，增强区域生态功能，有效遏制土地沙化和荒漠化，形成功能完备的生态安全屏障，打好打赢科尔沁沙地歼灭战。</w:t>
            </w:r>
          </w:p>
        </w:tc>
      </w:tr>
    </w:tbl>
    <w:p>
      <w:pPr>
        <w:pStyle w:val="9"/>
        <w:ind w:left="0" w:leftChars="0" w:firstLine="0" w:firstLineChars="0"/>
        <w:rPr>
          <w:color w:val="auto"/>
          <w:highlight w:val="none"/>
        </w:rPr>
      </w:pPr>
    </w:p>
    <w:p>
      <w:pPr>
        <w:pStyle w:val="9"/>
        <w:ind w:left="0" w:leftChars="0"/>
        <w:rPr>
          <w:rFonts w:hint="default" w:eastAsia="仿宋_GB2312"/>
          <w:color w:val="auto"/>
          <w:sz w:val="28"/>
          <w:szCs w:val="28"/>
          <w:highlight w:val="none"/>
          <w:lang w:val="en-US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ind w:left="0" w:leftChars="0"/>
        <w:rPr>
          <w:rFonts w:hint="default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default" w:eastAsia="仿宋_GB2312"/>
          <w:color w:val="auto"/>
          <w:sz w:val="28"/>
          <w:szCs w:val="28"/>
          <w:highlight w:val="non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578485</wp:posOffset>
            </wp:positionH>
            <wp:positionV relativeFrom="paragraph">
              <wp:posOffset>309880</wp:posOffset>
            </wp:positionV>
            <wp:extent cx="7494270" cy="5298440"/>
            <wp:effectExtent l="0" t="0" r="11430" b="16510"/>
            <wp:wrapNone/>
            <wp:docPr id="4" name="图片 3" descr="微信图片_2025-08-19_105302_11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微信图片_2025-08-19_105302_11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94270" cy="52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仿宋_GB2312"/>
          <w:color w:val="auto"/>
          <w:sz w:val="28"/>
          <w:szCs w:val="28"/>
          <w:highlight w:val="none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-SA"/>
        </w:rPr>
        <w:t>图1 “十五五”</w:t>
      </w:r>
      <w:r>
        <w:rPr>
          <w:rFonts w:hint="default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-SA"/>
        </w:rPr>
        <w:t>林业草原发展</w:t>
      </w:r>
      <w:r>
        <w:rPr>
          <w:rFonts w:hint="eastAsia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-SA"/>
        </w:rPr>
        <w:t>规划</w:t>
      </w:r>
      <w:r>
        <w:rPr>
          <w:rFonts w:hint="default" w:ascii="仿宋_GB2312" w:hAnsi="仿宋_GB2312" w:eastAsia="仿宋_GB2312" w:cs="仿宋_GB2312"/>
          <w:color w:val="auto"/>
          <w:kern w:val="2"/>
          <w:sz w:val="21"/>
          <w:szCs w:val="21"/>
          <w:highlight w:val="none"/>
          <w:lang w:val="en-US" w:eastAsia="zh-CN" w:bidi="ar-SA"/>
        </w:rPr>
        <w:t>布局图</w:t>
      </w:r>
    </w:p>
    <w:p>
      <w:pPr>
        <w:rPr>
          <w:rFonts w:hint="default"/>
          <w:lang w:val="en-US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生态环境影响说明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4"/>
          <w:szCs w:val="3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林草生态环境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现状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辽宁林草事业稳步发展，森林面积持续增加、森林覆盖率稳步提升，草原植被盖度总体保持平稳，湿地林草植被管护体系不断完善，辽河口、鸭绿江口等国际重要湿地周边林草生态逐步修复，全省林草生态格局基本稳定，林草生态环境质量持续向好。但受自然条件、历史开发等多重因素影响，全省林草生态保护修复仍存在结构性、根源性短板，长期发展面临的生态压力较为突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lang w:val="en-US" w:eastAsia="zh-CN" w:bidi="ar"/>
        </w:rPr>
        <w:t>区域生态发展不均衡。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全省林草生态布局呈现明显的区域分化特征，发展不均衡问题较为突出。辽东地区山林连片，森林资源充沛，生态系统稳定性强，是全省核心生态屏障；而辽西北区域气候干旱、土壤贫瘠，历史上沙化、水土流失问题突出，生态修复难度大、基础偏弱。受自然地理、气候条件长期影响，两大区域在资源禀赋、生态质量上形成较大差距，也给全域统筹推进林草保护修复带来挑战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局部林草生态功能退化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lang w:val="en-US" w:eastAsia="zh-CN" w:bidi="ar"/>
        </w:rPr>
        <w:t>辽东山区作为全省核心水源涵养林区，现有林地以单层纯林为主，林分结构单一、树种搭配不合理，部分区域林地植被覆盖度有所下降，森林涵养水源、保持水土的核心功能未能充分发挥。辽西北草原及疏林草地受气候、人为活动影响，植被盖度出现波动下滑，草地沙化、盐碱化趋势未得到彻底遏制，林草防风固沙能力持续减弱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lang w:val="en-US" w:eastAsia="zh-CN" w:bidi="ar"/>
        </w:rPr>
        <w:t>生态系统抗风险能力偏弱。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林草生态系统整体稳定性不足，抗风险、抗干扰能力偏弱。全省多数人工林结构单一、生态系统稳定性差，自我调节和恢复能力不足。受气候变化影响，区域干旱、高温等极端天气频发，不仅抑制林木、草原植被正常生长，还大幅增加森林草原火灾、林业有害生物暴发风险。同时，辽西北脆弱生态区对自然灾害敏感度高，一旦遭遇极端天气，生态修复成果易出现反弹，整体生态系统抵御风险能力和持续稳定能力亟待增强提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二、生态环境影响分析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正面影响分析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依托国土空间规划与自然资源“一张图”管控体系，严格落实“三区三线”管理要求，林草用地、林地草地边界实现精准管控，非法侵占林地、草地、湿地等生态空间的风险大幅降低，林草生态安全屏障更加稳固。打好打赢科尔沁沙地歼灭战、精准提升森林质量、持续开展国土绿化、草原生态修复与有害生物防治、湿地修复等林草重点工程，持续优化林草群落结构，全面提升森林水源涵养、草原防风固沙、湿地生物多样性保护等生态功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负面影响与潜在风险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造林、草原生态修复、林区道路及管护设施建设等工程施工期间，会临时扰动地表植被，短期内易造成局部水土流失、地表植被破坏，施工废渣、作业活动也会对区域野生动植物栖息环境产生一定干扰。部分区域开展林分结构调整、抚育、纯林改造、草地翻耕补播等作业时，若树种、草种选择不当、作业方式粗放，易造成本土植物减少，降低林草生态系统多样性，打破原有群落平衡。林下种植、林下养殖、森林生态旅游等林草产业开发，若布局不合理、管控不到位，过度开展经营性活动，会加剧林地、草地人为扰动，引发植被踩踏、土壤板结、垃圾污染等问题，威胁林草生态原生环境。滨海林草湿地修复、沿海防护林建设过程中，工程开挖、土方整理等作业，可能影响滨海候鸟栖息、迁徙活动，对近海周边林草湿地生态链造成潜在扰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三、预防和减轻不良影响的措施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强化林草生态空间管控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把“三区三线”落到图、落到地、落到责。严格遵循国土空间规划，将全省森林、草原、湿地、沙化土地及自然保护地全部纳入生态空间管理，生态保护红线内严禁不符合主体功能的开发建设活动。全面推行林长制，健全“五级林长+网格管护”体系，把管控责任压实到山头地块、具体人员。从严管控林地、草原征占用，优先保障国家和省重点基础设施、民生项目，坚决遏制非法侵占、毁林毁草、乱采滥挖等违法行为。统筹推进辽西北沙化土地、辽东退化林分、湿地保护修复，实现空间不压缩、性质不改变、功能不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严格林草领域生态环境准入。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持以“三区三线”为刚性约束，生态保护红线内严禁不符合主体功能的开发建设，自然保护地核心区、一级公益林、基本草原等区域原则上禁止任何生产经营活动。严格执行林地草地用途管制和定额管理，从严审核矿产开采、风电光伏、文旅开发等项目占用林草，能避让则避让、能少占则少占，坚决遏制“林地非林化”“草地非农化”。健全环评+林草准入+用地审批联动机制，将林草生态保护要求纳入项目可研、选址、环评全过程，对不符合生态管控要求的项目一律不予审批、一律不得落地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科学开展林草培育与生态修复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持因地制宜、适地适树、适地适草原则，优先选用乡土树种、本土草种，营造混交林、复层林，提升林草群落稳定性。各类林草工程严格落实生态保护要求，优化施工方案，做到施工少扰动、完工快复绿。林区抚育、草原治理、湿地修复采用生态化作业方式，最大限度保护原生植被与野生动植物生境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规范林草产业发展与日常管护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严格划定林草产业开发边界，严控林下经济、生态旅游等开发强度，落实分区管控、轮休养护制度，防范过度开发破坏林草植被。健全林草巡护、监管体系，严厉打击乱砍滥伐、非法开垦、违规侵占林草资源等行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健全考核与长效监管机制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将林草生态保护成效、生态环境影响情况纳入规划中期评估和终期总结评估，把森林覆盖率、草原植被盖度、林地保有量、湿地面积等约束性指标纳入年度考核。对因违规作业、过度开发造成重大林草生态破坏的地区、单位及责任人，依法依规追责问责，压实林草生态保护主体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rg6jf7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E152B8"/>
    <w:rsid w:val="25375997"/>
    <w:rsid w:val="25CB240D"/>
    <w:rsid w:val="2D746D92"/>
    <w:rsid w:val="2DEA4D70"/>
    <w:rsid w:val="3103141D"/>
    <w:rsid w:val="36FA9BB2"/>
    <w:rsid w:val="38BD6C63"/>
    <w:rsid w:val="3BCF22EF"/>
    <w:rsid w:val="3FFD9676"/>
    <w:rsid w:val="4281560F"/>
    <w:rsid w:val="4297139E"/>
    <w:rsid w:val="48F9D1AA"/>
    <w:rsid w:val="526D5153"/>
    <w:rsid w:val="5F0A378E"/>
    <w:rsid w:val="5FFF41CE"/>
    <w:rsid w:val="61DA69A1"/>
    <w:rsid w:val="6BD43417"/>
    <w:rsid w:val="70D23D0F"/>
    <w:rsid w:val="7DDB7A61"/>
    <w:rsid w:val="7DFA17DC"/>
    <w:rsid w:val="7FDED26B"/>
    <w:rsid w:val="7FFB936D"/>
    <w:rsid w:val="82FDC715"/>
    <w:rsid w:val="AFDF0400"/>
    <w:rsid w:val="B7F71374"/>
    <w:rsid w:val="BFFFA094"/>
    <w:rsid w:val="DFBE43B4"/>
    <w:rsid w:val="F7FB5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adjustRightInd w:val="0"/>
      <w:snapToGrid w:val="0"/>
      <w:spacing w:before="50" w:beforeLines="50" w:after="50" w:afterLines="50" w:line="560" w:lineRule="exact"/>
      <w:jc w:val="center"/>
      <w:outlineLvl w:val="0"/>
    </w:pPr>
    <w:rPr>
      <w:rFonts w:eastAsia="黑体"/>
      <w:bCs/>
      <w:kern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line="360" w:lineRule="auto"/>
      <w:ind w:left="0" w:firstLine="964" w:firstLineChars="200"/>
      <w:jc w:val="both"/>
    </w:pPr>
    <w:rPr>
      <w:rFonts w:ascii="Times New Roman" w:hAnsi="Times New Roman" w:eastAsia="仿宋_GB2312"/>
      <w:sz w:val="28"/>
      <w:szCs w:val="30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10">
    <w:name w:val="Body Text First Indent 2"/>
    <w:next w:val="1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6938</Words>
  <Characters>7158</Characters>
  <Paragraphs>123</Paragraphs>
  <TotalTime>2</TotalTime>
  <ScaleCrop>false</ScaleCrop>
  <LinksUpToDate>false</LinksUpToDate>
  <CharactersWithSpaces>7160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2026-04-26T07:08:00Z</dcterms:created>
  <dc:creator>PTP-AN10</dc:creator>
  <cp:lastModifiedBy>bailinlin</cp:lastModifiedBy>
  <cp:lastPrinted>2026-05-19T04:12:00Z</cp:lastPrinted>
  <dcterms:modified xsi:type="dcterms:W3CDTF">2026-06-05T16:06:00Z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F71B4D7E92614D1E864C307F3F4CE3CE_13</vt:lpwstr>
  </property>
  <property fmtid="{D5CDD505-2E9C-101B-9397-08002B2CF9AE}" pid="3" name="KSOProductBuildVer">
    <vt:lpwstr>2052-11.8.2.10386</vt:lpwstr>
  </property>
  <property fmtid="{D5CDD505-2E9C-101B-9397-08002B2CF9AE}" pid="4" name="KSOTemplateDocerSaveRecord">
    <vt:lpwstr>eyJoZGlkIjoiMDdiM2Q5Y2RkNDBlMTc1MWFjY2NiMTU1MjZiM2UyMTgiLCJ1c2VySWQiOiIzODk2NjI4NzgifQ==</vt:lpwstr>
  </property>
</Properties>
</file>